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проведении отбора получателей субсидии на выплату компенсации расходов на трудоустройство молодого гражданина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</w:t>
      </w:r>
      <w:r>
        <w:rPr>
          <w:rStyle w:val="FontStyle20"/>
          <w:sz w:val="28"/>
          <w:szCs w:val="28"/>
        </w:rPr>
        <w:t xml:space="preserve">предоставления субсидии на </w:t>
      </w:r>
      <w:r>
        <w:rPr>
          <w:rFonts w:cs="Times New Roman" w:ascii="Times New Roman" w:hAnsi="Times New Roman"/>
          <w:sz w:val="28"/>
          <w:szCs w:val="28"/>
        </w:rPr>
        <w:t>выплату компенсации расходов на трудоустройство молодого гражданина (далее –  Порядок)</w:t>
      </w:r>
      <w:r>
        <w:rPr>
          <w:rStyle w:val="FontStyle20"/>
          <w:sz w:val="28"/>
          <w:szCs w:val="28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выплату компенсации расходов на трудоустройство молодого гражданина (далее – отбор).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начала подачи заявок на участие в отборе: </w:t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                        26 января 2021 года.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sz w:val="28"/>
          <w:szCs w:val="28"/>
        </w:rPr>
        <w:t>до 17 час. 00 мин.</w:t>
        <w:br/>
        <w:t>01 декабря 2021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</w:t>
      </w:r>
      <w:bookmarkStart w:id="0" w:name="_GoBack"/>
      <w:bookmarkEnd w:id="0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Номер контактного телефона: </w:t>
      </w:r>
      <w:r>
        <w:rPr>
          <w:rFonts w:cs="Times New Roman" w:ascii="Times New Roman" w:hAnsi="Times New Roman"/>
          <w:b/>
          <w:bCs/>
          <w:sz w:val="28"/>
          <w:szCs w:val="28"/>
        </w:rPr>
        <w:t>(8182) 24-07-92, 24-07-95, 24-08-13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Скорнякова Елена Алексеевна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выплата компенсации расходов на трудоустройство молодого гражданина в целях стимулирования работодателей, сохраняющих действующие и (или) создающих новые рабочие места для молодежи, заключившим с министерством труда, занятости и социального развития Архангельской области (далее – министерство) и Центром занятости трехсторонний договор о намерении трудоустройства молодежи (далее – договор).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 1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</w:t>
        <w:br/>
        <w:t>от 8 октября 2013 г. № 466-пп (далее – государственная программа).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трудоустройство молодого гражданина из числа: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выпускников профессиональных образовательных организаций </w:t>
        <w:br/>
        <w:t>и образовательных организаций высшего образования, признанных безработными и в течение 12 месяцев (за исключением периода прохождения военной службы по призыву, периода нахождения в отпуске по беременности и родам, периода нахождения в отпуске по уходу за ребенком) после окончания образовательной организации не работавших по профессии (специальности);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граждан, освобожденных из учреждений уголовно-исполнительной системы и признанных безработными;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граждан, признанных безработными и не достигших возраста 18 лет.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1) работодатель является юридическим лицом (за исключением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>государственных и муниципальных учреждений), в том числе государственным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заявление о заключении договора о намерении трудоустройства молодежи;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копии учредительных документов – для юридических лиц;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</w:t>
        <w:br/>
        <w:t>в уставном капитале акционерного общества по состоянию на первое число месяца, предшествующего месяцу,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</w:t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  <w:t>в обособленное подразделение Центра занятости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</w:t>
        <w:br/>
        <w:t>(для индивидуальных предпринимателей), полученную не ранее чем за два месяца до дня представления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 в отборе 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Порядок отзыва заявки: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Работодателя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обособленное подразделение Центр занятости по собственной инициативе.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Правила рассмотрения и оценки заявки: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рассматривает заявку и принимает решение </w:t>
        <w:br/>
        <w:t>о заключении договора или об отказе в его заключении в течение 10 рабочих дней с даты представления заявки.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несоответствие работодателя установленным требованиям </w:t>
        <w:br/>
        <w:t>и критериям отбора;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 не в полном объеме;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 или об отказе в его заключении в течение 3 рабочих дней с даты принятия указанного решения уведомляет работодателя о принятом решении.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Заключение договора: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договора, подписывает проект договора с министерством и направляет проект договора работодателю для рассмотрения и подписания.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 случае если по истечении указанного срока подписанный договор </w:t>
        <w:br/>
        <w:t>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Предоставление работодателям разъяснений положений объявления: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 xml:space="preserve">в письменной форме или в форме электронного документа разъяснения положений, содержащихся в объявлении, если указанный запрос поступил 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 на интерактивном портале министерства труда, занятости и социального развития Архангельской области, на официальном сайте Центра занятости</w:t>
        <w:br/>
        <w:t>в течение 5 рабочих дней со дня принятия решения о заключении договора.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Файлы для скачивания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1. </w:t>
      </w:r>
      <w:hyperlink r:id="rId4">
        <w:r>
          <w:rPr>
            <w:rFonts w:cs="Times New Roman" w:ascii="Times New Roman" w:hAnsi="Times New Roman"/>
            <w:sz w:val="28"/>
            <w:szCs w:val="28"/>
            <w:highlight w:val="white"/>
          </w:rPr>
          <w:t>Форма Заявление о заключении договора о намерении трудоустройства молодежи.</w:t>
        </w:r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 xml:space="preserve"> </w:t>
        </w:r>
      </w:hyperlink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>https://aoczn.ru/wp-content/uploads/2021/01/1-zayavlenie-molodezh.odt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2. </w:t>
      </w:r>
      <w:hyperlink r:id="rId5">
        <w:r>
          <w:rPr>
            <w:rFonts w:cs="Times New Roman" w:ascii="Times New Roman" w:hAnsi="Times New Roman"/>
            <w:sz w:val="28"/>
            <w:szCs w:val="28"/>
            <w:highlight w:val="white"/>
          </w:rPr>
          <w:t>Типовая форма Договора о намерении трудоустройства молодежи.</w:t>
        </w:r>
      </w:hyperlink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>https://aoczn.ru/wp-content/uploads/2021/01/1-dogovor-o-namerenii-trudoustrojstva-molodezhi.rtf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3. Адреса обособленных подразделений </w:t>
      </w:r>
      <w:hyperlink r:id="rId6">
        <w:r>
          <w:rPr>
            <w:rFonts w:cs="Times New Roman" w:ascii="Times New Roman" w:hAnsi="Times New Roman"/>
            <w:b/>
            <w:sz w:val="28"/>
            <w:szCs w:val="28"/>
            <w:highlight w:val="white"/>
          </w:rPr>
          <w:t>https://aoczn.ru/struct/ozn/</w:t>
        </w:r>
      </w:hyperlink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mailMerge>
    <w:mainDocumentType w:val="formLetters"/>
    <w:dataType w:val="textFile"/>
    <w:query w:val="SELECT * FROM Адреса.dbo.Sheet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5b638f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https://aoczn.ru/wp-content/uploads/2021/01/1-zayavlenie-molodezh.odt" TargetMode="External"/><Relationship Id="rId5" Type="http://schemas.openxmlformats.org/officeDocument/2006/relationships/hyperlink" Target="https://aoczn.ru/wp-content/uploads/2021/01/1-dogovor-o-namerenii-trudoustrojstva-molodezhi.rtf" TargetMode="External"/><Relationship Id="rId6" Type="http://schemas.openxmlformats.org/officeDocument/2006/relationships/hyperlink" Target="https://aoczn.ru/struct/ozn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5</Pages>
  <Words>1118</Words>
  <Characters>8252</Characters>
  <CharactersWithSpaces>9353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2021-01-18T11:29:00Z</dcterms:created>
  <dc:creator>Анна Быченкова</dc:creator>
  <dc:description/>
  <dc:language>ru-RU</dc:language>
  <cp:lastModifiedBy/>
  <cp:lastPrinted>2021-01-14T15:29:00Z</cp:lastPrinted>
  <dcterms:modified xsi:type="dcterms:W3CDTF">2021-01-18T17:11:47Z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