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о проведении отбора получателей субсидии на реализацию мероприятий по возмещению затрат по оплате труда инвалидов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 января 2024 года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>на реализацию мероприятий по возмещению затрат по оплате труда инвалидов (далее – Порядок)</w:t>
      </w:r>
      <w:r>
        <w:rPr>
          <w:rStyle w:val="FontStyle20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мероприятий по возмещению затрат по оплате труда инвалидов 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16 января 2024 года.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>1 декабря 2024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435-002, 435-008.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Контактное лицо: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Голобородько Оксана Васильевна.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   </w:t>
      </w:r>
    </w:p>
    <w:p>
      <w:pPr>
        <w:pStyle w:val="Normal"/>
        <w:spacing w:lineRule="auto" w:line="240" w:before="0" w:after="0"/>
        <w:ind w:firstLine="737"/>
        <w:jc w:val="both"/>
        <w:rPr>
          <w:rStyle w:val="Style17"/>
          <w:rFonts w:ascii="Times New Roman" w:hAnsi="Times New Roman" w:cs="Arial;Tahoma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>
          <w:rFonts w:cs="Arial;Tahoma" w:ascii="Times New Roman" w:hAnsi="Times New Roman"/>
          <w:b/>
          <w:b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оплате труда инвалидов юридическим лицам (за исключением государственных (муниципальных) учреждений) и индивидуальным предпринимателям </w:t>
        <w:br/>
        <w:t xml:space="preserve">(далее – работодатели), </w:t>
      </w:r>
      <w:r>
        <w:rPr>
          <w:rFonts w:cs="Times New Roman" w:ascii="Times New Roman" w:hAnsi="Times New Roman"/>
          <w:sz w:val="28"/>
          <w:szCs w:val="28"/>
          <w:highlight w:val="white"/>
        </w:rPr>
        <w:t>осуществляющим деятельность на территории Архангельской области.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государственной программы Архангельской области «Содействие занятости населения Архангельской области, улучшение условий и охраны труда», </w:t>
      </w:r>
      <w:r>
        <w:rPr>
          <w:rStyle w:val="FontStyle20"/>
          <w:sz w:val="28"/>
          <w:szCs w:val="28"/>
          <w:highlight w:val="white"/>
        </w:rPr>
        <w:t xml:space="preserve">утвержденной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трудоустройство инвалидов либо сохранение рабочих мест для работающих инвалидов до 15 декабря текущего календарного года.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  <w:br/>
        <w:t xml:space="preserve"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8"/>
        </w:rPr>
        <w:t>некоммерческой</w:t>
        <w:tab/>
        <w:t xml:space="preserve"> организацией или индивидуальным предпринимателем;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области;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3) численность работающих инвалидов не менее 25 процентов от общей численности работников работодателя.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Calibri" w:cs="Times New Roman"/>
          <w:color w:val="000000"/>
          <w:highlight w:val="white"/>
        </w:rPr>
      </w:pPr>
      <w:r>
        <w:rPr>
          <w:rFonts w:eastAsia="Calibri"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не должен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не должен получать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hyperlink w:anchor="P5687">
        <w:r>
          <w:rPr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возмещению затрат по оплате труда инвалидов по утвержденной форме; </w:t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справка о численности работников, в том числе инвалидов;</w:t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ConsPlusNormal1"/>
        <w:spacing w:lineRule="auto" w:line="240" w:before="0" w:after="20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финансово-экономическое обоснование получения субсидии;</w:t>
      </w:r>
    </w:p>
    <w:p>
      <w:pPr>
        <w:pStyle w:val="Normal"/>
        <w:spacing w:lineRule="auto" w:line="240" w:before="0" w:after="143"/>
        <w:ind w:left="0" w:hanging="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ab/>
        <w:t>4</w:t>
      </w:r>
      <w:r>
        <w:rPr>
          <w:rFonts w:eastAsia="Calibri" w:cs="Times New Roman" w:eastAsiaTheme="minorHAnsi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) справку, подписанную держателем реестра акционеров акционерного общества и заверенную (скрепленную)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прямого или косвенного (через третьих лиц)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превышающей 25 процентов (если иное не предусмотрено законодательством Российской Федерации)</w:t>
      </w: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;</w:t>
      </w:r>
    </w:p>
    <w:p>
      <w:pPr>
        <w:pStyle w:val="ConsPlusNormal1"/>
        <w:spacing w:lineRule="auto" w:line="240"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5)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информация о вакансии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утвержденной форме и </w:t>
      </w:r>
      <w:r>
        <w:rPr>
          <w:rFonts w:cs="Times New Roman" w:ascii="Times New Roman" w:hAnsi="Times New Roman"/>
          <w:sz w:val="28"/>
          <w:szCs w:val="28"/>
          <w:highlight w:val="white"/>
        </w:rPr>
        <w:t>(или) список работающих инвалидов, которым гарантируется сохранение трудовой занятости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</w:t>
        <w:br/>
        <w:t xml:space="preserve">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</w:t>
        <w:br/>
        <w:t>(для индивидуальных предпринимателей).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4"/>
          <w:highlight w:val="white"/>
          <w:u w:val="single"/>
        </w:rPr>
      </w:pPr>
      <w:r>
        <w:rPr>
          <w:rFonts w:cs="Times New Roman" w:ascii="Times New Roman" w:hAnsi="Times New Roman"/>
          <w:spacing w:val="-4"/>
          <w:highlight w:val="white"/>
          <w:u w:val="single"/>
        </w:rPr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 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ее поступления в Центр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>
          <w:rFonts w:eastAsia="MS Mincho"/>
          <w:sz w:val="28"/>
          <w:szCs w:val="28"/>
          <w:highlight w:val="white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Возврату подлежат документы, представленные работодателем в Центр занятости по собственной инициативе.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–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об отказе в его заключении в течение двух рабочих дней со дня его поступления </w:t>
        <w:br/>
        <w:t>в министерство.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представление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письменно уведомляет работодателя о необходимости заключении договора.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аботодатель вправе направить в письменной форме в Центр занятости запрос, </w:t>
        <w:br/>
        <w:t xml:space="preserve">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</w:t>
        <w:br/>
        <w:t>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tabs>
          <w:tab w:val="clear" w:pos="708"/>
          <w:tab w:val="left" w:pos="735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Заключение договора: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Центр занятости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принимает решение о заключении договора и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течение трех рабочих дней со дня его принятия  направляет работодателю               проект договора о предоставлении субсидии, утвержденной           постановлением министерства финансов Архангельской области.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br/>
      </w:r>
      <w:bookmarkStart w:id="1" w:name="Par0"/>
      <w:bookmarkEnd w:id="1"/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FontStyle20"/>
          <w:rFonts w:eastAsia="Calibri" w:cs="Times New Roman" w:ascii="Times New Roman" w:hAnsi="Times New Roman"/>
          <w:sz w:val="28"/>
          <w:szCs w:val="28"/>
          <w:highlight w:val="white"/>
          <w:shd w:fill="FFFFFF" w:val="clear"/>
          <w:lang w:eastAsia="ar-SA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</w:rPr>
        <w:t>размещается</w:t>
        <w:br/>
        <w:t xml:space="preserve">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заключении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134" w:right="850" w:gutter="0" w:header="0" w:top="624" w:footer="0" w:bottom="62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Hyperlink"/>
    <w:basedOn w:val="DefaultParagraphFont"/>
    <w:uiPriority w:val="99"/>
    <w:unhideWhenUsed/>
    <w:rsid w:val="005c5bc3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A47A-1CF9-47ED-A33C-6547ED3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LibreOffice/7.4.5.1$Windows_X86_64 LibreOffice_project/9c0871452b3918c1019dde9bfac75448afc4b57f</Application>
  <AppVersion>15.0000</AppVersion>
  <Pages>4</Pages>
  <Words>1073</Words>
  <Characters>7690</Characters>
  <CharactersWithSpaces>9111</CharactersWithSpaces>
  <Paragraphs>63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2024-01-12T09:46:00Z</dcterms:created>
  <dc:creator>Анна Быченкова</dc:creator>
  <dc:description/>
  <dc:language>ru-RU</dc:language>
  <cp:lastModifiedBy/>
  <cp:lastPrinted>2021-01-14T15:29:00Z</cp:lastPrinted>
  <dcterms:modified xsi:type="dcterms:W3CDTF">2024-01-12T10:00:30Z</dcterms:modified>
  <cp:revision>16</cp:revision>
  <dc:subject/>
  <dc:title>Постановление Правительства Архангельской области от 08.10.2013 N 466-пп(ред. от 27.12.2023)"О государственной программе Архангельской области "Содействие занятости населения Архангельской области, улучшение условий и охраны труда"(с изм. и доп., вступающими в силу с 01.01.2024)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